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D114" w14:textId="25339429" w:rsidR="00E02437" w:rsidRDefault="00E02437" w:rsidP="005E4004">
      <w:bookmarkStart w:id="0" w:name="_Hlk180940221"/>
      <w:r>
        <w:rPr>
          <w:noProof/>
        </w:rPr>
        <w:drawing>
          <wp:inline distT="0" distB="0" distL="0" distR="0" wp14:anchorId="41277DE4" wp14:editId="2315656D">
            <wp:extent cx="2694305" cy="683895"/>
            <wp:effectExtent l="0" t="0" r="0" b="1905"/>
            <wp:docPr id="3" name="image2.jpeg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magine che contiene testo, Carattere, logo, Elementi grafici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</w:t>
      </w:r>
      <w:r>
        <w:rPr>
          <w:noProof/>
        </w:rPr>
        <w:drawing>
          <wp:inline distT="0" distB="0" distL="0" distR="0" wp14:anchorId="06E0D906" wp14:editId="7AF26729">
            <wp:extent cx="861695" cy="927735"/>
            <wp:effectExtent l="0" t="0" r="0" b="5715"/>
            <wp:docPr id="1" name="image1.jpeg" descr="Immagine che contiene schizzo, disegno, Arte bambini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schizzo, disegno, Arte bambini, illustrazione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BFE59" w14:textId="77777777" w:rsidR="00990AC7" w:rsidRDefault="00BC2467" w:rsidP="00DA2305">
      <w:pPr>
        <w:jc w:val="center"/>
      </w:pPr>
      <w:r>
        <w:t xml:space="preserve">SINTESI </w:t>
      </w:r>
      <w:r w:rsidR="00990AC7">
        <w:t>DECRETO MINISTERIALE 32/25</w:t>
      </w:r>
    </w:p>
    <w:p w14:paraId="10294637" w14:textId="77777777" w:rsidR="00990AC7" w:rsidRDefault="00990AC7" w:rsidP="00DA2305">
      <w:pPr>
        <w:jc w:val="center"/>
      </w:pPr>
      <w:r>
        <w:t>CONTINUITA’ DOCENTI A TEMPO DETERMINATO SU POSTI DI SOSTEGNO</w:t>
      </w:r>
    </w:p>
    <w:p w14:paraId="56D926A8" w14:textId="77777777" w:rsidR="00A64114" w:rsidRDefault="00A64114" w:rsidP="00DA2305">
      <w:pPr>
        <w:jc w:val="center"/>
      </w:pPr>
    </w:p>
    <w:p w14:paraId="6A28EBF0" w14:textId="02C60E11" w:rsidR="00A64114" w:rsidRDefault="00A64114" w:rsidP="00A64114">
      <w:pPr>
        <w:jc w:val="both"/>
      </w:pPr>
      <w:r>
        <w:t>In seguito a diverse segnalazioni e richieste di chiarimento pervenute, il ministero ha emanato una nota riassuntiva riguardo alle procedure e alle caratteristiche richieste dalla norma per la conferma dei docenti precari che hanno lavorato nel 2024/25 su posti di sostegno.</w:t>
      </w:r>
    </w:p>
    <w:p w14:paraId="0D649C60" w14:textId="5CB189E0" w:rsidR="00A64114" w:rsidRDefault="00A64114" w:rsidP="00A64114">
      <w:pPr>
        <w:jc w:val="both"/>
      </w:pPr>
      <w:r>
        <w:t>In sintesi:</w:t>
      </w:r>
    </w:p>
    <w:p w14:paraId="71A7E544" w14:textId="644ADCD3" w:rsidR="00A64114" w:rsidRDefault="00A64114" w:rsidP="00A64114">
      <w:pPr>
        <w:pStyle w:val="Paragrafoelenco"/>
        <w:numPr>
          <w:ilvl w:val="0"/>
          <w:numId w:val="41"/>
        </w:numPr>
        <w:jc w:val="both"/>
      </w:pPr>
      <w:r>
        <w:t>La conferma interviene solo su posti di sostegno che nel 2025/26 saranno disponibili fino al 30 giugno o al 31 agosto</w:t>
      </w:r>
    </w:p>
    <w:p w14:paraId="3CA2F7ED" w14:textId="7C7C71B5" w:rsidR="00A64114" w:rsidRDefault="00A64114" w:rsidP="00A64114">
      <w:pPr>
        <w:pStyle w:val="Paragrafoelenco"/>
        <w:numPr>
          <w:ilvl w:val="0"/>
          <w:numId w:val="41"/>
        </w:numPr>
        <w:jc w:val="both"/>
      </w:pPr>
      <w:r>
        <w:t>Le conferme potranno essere fatte solo al termine di tutte le operazioni relative ai docenti già di ruolo, compresi gli utilizzi e le assegnazioni provvisorie, e al personale individuato per una nomina in ruolo o una nomina a tempo determinato finalizzata al ruolo ( GPS prima fascia e fascia aggiuntiva)</w:t>
      </w:r>
    </w:p>
    <w:p w14:paraId="59E5204C" w14:textId="4134318D" w:rsidR="00A64114" w:rsidRDefault="00A64114" w:rsidP="00A64114">
      <w:pPr>
        <w:pStyle w:val="Paragrafoelenco"/>
        <w:numPr>
          <w:ilvl w:val="0"/>
          <w:numId w:val="41"/>
        </w:numPr>
        <w:jc w:val="both"/>
      </w:pPr>
      <w:r>
        <w:t>Per poter ricevere una conferma, i docenti precari interessati dovranno aver avuto nel 2024/25 una nomina fino al 31 agosto o 30 giugno (sono compresi anche le nomine al 30 giugno su spezzoni</w:t>
      </w:r>
    </w:p>
    <w:p w14:paraId="49D9AA9B" w14:textId="2BEF9BD3" w:rsidR="00A64114" w:rsidRDefault="00A64114" w:rsidP="00A64114">
      <w:pPr>
        <w:pStyle w:val="Paragrafoelenco"/>
        <w:numPr>
          <w:ilvl w:val="0"/>
          <w:numId w:val="41"/>
        </w:numPr>
        <w:jc w:val="both"/>
      </w:pPr>
      <w:r>
        <w:t>Non potranno quindi essere oggetto di conferma i docenti che nell’anno in corso hanno una supplenza temporanea</w:t>
      </w:r>
    </w:p>
    <w:p w14:paraId="1DD4FC61" w14:textId="1717C3D3" w:rsidR="00A64114" w:rsidRDefault="00A64114" w:rsidP="00A64114">
      <w:pPr>
        <w:pStyle w:val="Paragrafoelenco"/>
        <w:numPr>
          <w:ilvl w:val="0"/>
          <w:numId w:val="41"/>
        </w:numPr>
        <w:jc w:val="both"/>
      </w:pPr>
      <w:r>
        <w:t>Hanno quindi potenzialmente diritto alla conferma:</w:t>
      </w:r>
    </w:p>
    <w:p w14:paraId="398ED64C" w14:textId="74838ADD" w:rsidR="00A64114" w:rsidRDefault="00A64114" w:rsidP="00A64114">
      <w:pPr>
        <w:pStyle w:val="Paragrafoelenco"/>
        <w:numPr>
          <w:ilvl w:val="0"/>
          <w:numId w:val="42"/>
        </w:numPr>
        <w:jc w:val="both"/>
      </w:pPr>
      <w:r>
        <w:t xml:space="preserve">Docenti specializzati </w:t>
      </w:r>
      <w:r w:rsidR="000F57A9">
        <w:t>che in base a qualsivoglia graduatoria hanno avuto un incarico nel 2024/25 fino al 30 giugno o 31 agosto</w:t>
      </w:r>
    </w:p>
    <w:p w14:paraId="5FB7A197" w14:textId="79473167" w:rsidR="000F57A9" w:rsidRDefault="000F57A9" w:rsidP="00A64114">
      <w:pPr>
        <w:pStyle w:val="Paragrafoelenco"/>
        <w:numPr>
          <w:ilvl w:val="0"/>
          <w:numId w:val="42"/>
        </w:numPr>
        <w:jc w:val="both"/>
      </w:pPr>
      <w:r>
        <w:t xml:space="preserve">Docenti non specializzati inseriti in II fascia GPS </w:t>
      </w:r>
      <w:r w:rsidR="00690F04">
        <w:t>individuati nel 2024/25 quali destinatari di supplenza dallo scorrimento della II fascia GPS</w:t>
      </w:r>
    </w:p>
    <w:p w14:paraId="02DA7EF6" w14:textId="0A16AC06" w:rsidR="00690F04" w:rsidRDefault="00690F04" w:rsidP="00A64114">
      <w:pPr>
        <w:pStyle w:val="Paragrafoelenco"/>
        <w:numPr>
          <w:ilvl w:val="0"/>
          <w:numId w:val="42"/>
        </w:numPr>
        <w:jc w:val="both"/>
      </w:pPr>
      <w:r>
        <w:t>Docenti non specializzati individuati nel 2024/25 quali destinatari di una supplenza sulla base delle graduatorie incrociate GPS o GAE</w:t>
      </w:r>
    </w:p>
    <w:p w14:paraId="1C7978A8" w14:textId="4911A357" w:rsidR="00690F04" w:rsidRDefault="00690F04" w:rsidP="00690F04">
      <w:pPr>
        <w:ind w:left="720"/>
        <w:jc w:val="both"/>
      </w:pPr>
      <w:r>
        <w:t>Sulla base di quanto premesso, la procedura da seguire è la seguente:</w:t>
      </w:r>
    </w:p>
    <w:p w14:paraId="4D72AD0F" w14:textId="24C7C25F" w:rsidR="00690F04" w:rsidRDefault="00690F04" w:rsidP="00690F04">
      <w:pPr>
        <w:pStyle w:val="Paragrafoelenco"/>
        <w:numPr>
          <w:ilvl w:val="0"/>
          <w:numId w:val="41"/>
        </w:numPr>
        <w:jc w:val="both"/>
      </w:pPr>
      <w:r>
        <w:t>Le famiglie fanno espressa richiesta di conferma entro il 31 maggio 2025</w:t>
      </w:r>
    </w:p>
    <w:p w14:paraId="0CFCBB48" w14:textId="598D9237" w:rsidR="00690F04" w:rsidRDefault="00690F04" w:rsidP="00690F04">
      <w:pPr>
        <w:pStyle w:val="Paragrafoelenco"/>
        <w:numPr>
          <w:ilvl w:val="0"/>
          <w:numId w:val="41"/>
        </w:numPr>
        <w:jc w:val="both"/>
      </w:pPr>
      <w:r>
        <w:t>Il dirigente scolastico valuta la sussistenza delle condizioni per procedere alla conferma del docente tenendo conto principalmente dell’interesse dell’alunno e sentendo anche il GLO in riferimento allo specifico alunno e della classe e comunica, entro il 15 giugno, presso l’</w:t>
      </w:r>
      <w:r w:rsidR="00AC68A0">
        <w:t>UST</w:t>
      </w:r>
      <w:r>
        <w:t xml:space="preserve"> territorialmente competente la richiesta di conferma</w:t>
      </w:r>
    </w:p>
    <w:p w14:paraId="2D1639ED" w14:textId="395CF471" w:rsidR="00690F04" w:rsidRDefault="00690F04" w:rsidP="00690F04">
      <w:pPr>
        <w:pStyle w:val="Paragrafoelenco"/>
        <w:numPr>
          <w:ilvl w:val="0"/>
          <w:numId w:val="41"/>
        </w:numPr>
        <w:jc w:val="both"/>
      </w:pPr>
      <w:r>
        <w:t xml:space="preserve">Il docente interessato alla conferma deve dare il proprio consenso </w:t>
      </w:r>
    </w:p>
    <w:p w14:paraId="01B8DB04" w14:textId="77777777" w:rsidR="00AC68A0" w:rsidRDefault="00AC68A0" w:rsidP="00AC68A0">
      <w:pPr>
        <w:jc w:val="both"/>
      </w:pPr>
    </w:p>
    <w:p w14:paraId="630CDF86" w14:textId="7FE7FBEE" w:rsidR="00AC68A0" w:rsidRDefault="00AC68A0" w:rsidP="00AC68A0">
      <w:pPr>
        <w:jc w:val="both"/>
      </w:pPr>
      <w:r>
        <w:lastRenderedPageBreak/>
        <w:t xml:space="preserve">Gli UST, prima di procedere alla nomina, dovranno verificare </w:t>
      </w:r>
    </w:p>
    <w:p w14:paraId="530F6DA9" w14:textId="4D56AD67" w:rsidR="00AC68A0" w:rsidRDefault="00AC68A0" w:rsidP="00AC68A0">
      <w:pPr>
        <w:pStyle w:val="Paragrafoelenco"/>
        <w:numPr>
          <w:ilvl w:val="0"/>
          <w:numId w:val="43"/>
        </w:numPr>
        <w:jc w:val="both"/>
      </w:pPr>
      <w:r>
        <w:t>che il docente abbia effettivamente titolo per poter ricevere una nomina su uno qualsiasi dei posti disponibili nell’ambito delle supplenze per il 2025/26</w:t>
      </w:r>
    </w:p>
    <w:p w14:paraId="5E29775C" w14:textId="347188D8" w:rsidR="00AC68A0" w:rsidRDefault="00AC68A0" w:rsidP="00AC68A0">
      <w:pPr>
        <w:pStyle w:val="Paragrafoelenco"/>
        <w:numPr>
          <w:ilvl w:val="0"/>
          <w:numId w:val="43"/>
        </w:numPr>
        <w:jc w:val="both"/>
      </w:pPr>
      <w:r>
        <w:t>Che il posto oggetto di conferma sia effettivamente rimasto disponibile dopo tutte le operazioni relative ai docenti già di ruolo e quelle per le nomine in ruolo per il 2025/26</w:t>
      </w:r>
    </w:p>
    <w:p w14:paraId="24F7C42E" w14:textId="4338000F" w:rsidR="00AC68A0" w:rsidRDefault="00AC68A0" w:rsidP="00AC68A0">
      <w:pPr>
        <w:ind w:left="360"/>
        <w:jc w:val="both"/>
      </w:pPr>
      <w:r>
        <w:t>Fatte queste verifiche, gli UST potranno procedere, entro il 31 agosto, con le operazioni di conferma del docente.</w:t>
      </w:r>
    </w:p>
    <w:p w14:paraId="670B663D" w14:textId="77777777" w:rsidR="00AC68A0" w:rsidRDefault="00AC68A0" w:rsidP="00AC68A0">
      <w:pPr>
        <w:ind w:left="360"/>
        <w:jc w:val="both"/>
      </w:pPr>
      <w:r>
        <w:t xml:space="preserve">La nota non lo dice espressamente, ma ricordo che </w:t>
      </w:r>
    </w:p>
    <w:p w14:paraId="4CBAB81F" w14:textId="2409E192" w:rsidR="00AC68A0" w:rsidRDefault="00AC68A0" w:rsidP="00AC68A0">
      <w:pPr>
        <w:pStyle w:val="Paragrafoelenco"/>
        <w:numPr>
          <w:ilvl w:val="0"/>
          <w:numId w:val="41"/>
        </w:numPr>
        <w:jc w:val="both"/>
      </w:pPr>
      <w:r>
        <w:t>la conferma eventuale avviene sull’alunno e non sul posto attualmente occupato dal docente ( se la nomina 2024/25 fosse su 2 alunni, la conferma scatta solo sulle ore di  quello la cui famiglia ha chiesto la conferma)</w:t>
      </w:r>
    </w:p>
    <w:p w14:paraId="0BAEE3B3" w14:textId="111737CF" w:rsidR="00AC68A0" w:rsidRDefault="00AC68A0" w:rsidP="00AC68A0">
      <w:pPr>
        <w:pStyle w:val="Paragrafoelenco"/>
        <w:numPr>
          <w:ilvl w:val="0"/>
          <w:numId w:val="41"/>
        </w:numPr>
        <w:jc w:val="both"/>
      </w:pPr>
      <w:r>
        <w:t>il docente confermato viene escluso dalle GPS per cui non potrà partecipare a tutte le successive operazioni relative alle nomine a tempo determinato senza poter quindi eventualmente completare la nomina su di uno spezzone orario</w:t>
      </w:r>
    </w:p>
    <w:p w14:paraId="1228F330" w14:textId="77777777" w:rsidR="00AC68A0" w:rsidRDefault="00AC68A0" w:rsidP="00AC68A0">
      <w:pPr>
        <w:pStyle w:val="Paragrafoelenco"/>
        <w:jc w:val="both"/>
      </w:pPr>
    </w:p>
    <w:p w14:paraId="2F9EA3E1" w14:textId="5042EEB3" w:rsidR="00AC68A0" w:rsidRDefault="00AC68A0" w:rsidP="00AC68A0">
      <w:pPr>
        <w:pStyle w:val="Paragrafoelenco"/>
        <w:jc w:val="right"/>
      </w:pPr>
      <w:r>
        <w:t>Antonio Antonazzo</w:t>
      </w:r>
    </w:p>
    <w:p w14:paraId="2146EE86" w14:textId="77777777" w:rsidR="00AC68A0" w:rsidRDefault="00AC68A0" w:rsidP="00AC68A0">
      <w:pPr>
        <w:ind w:left="360"/>
        <w:jc w:val="both"/>
      </w:pPr>
    </w:p>
    <w:bookmarkEnd w:id="0"/>
    <w:p w14:paraId="3CADC34A" w14:textId="2E6F500E" w:rsidR="00CF6F60" w:rsidRDefault="0009163B" w:rsidP="0009163B">
      <w:pPr>
        <w:pStyle w:val="Paragrafoelenco"/>
        <w:jc w:val="right"/>
      </w:pPr>
      <w:r>
        <w:t>di Antonio Antonazzo</w:t>
      </w:r>
    </w:p>
    <w:sectPr w:rsidR="00CF6F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4471"/>
    <w:multiLevelType w:val="hybridMultilevel"/>
    <w:tmpl w:val="9C40EDFC"/>
    <w:lvl w:ilvl="0" w:tplc="8C620F06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86930"/>
    <w:multiLevelType w:val="hybridMultilevel"/>
    <w:tmpl w:val="D4962B18"/>
    <w:lvl w:ilvl="0" w:tplc="3872F9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21DB"/>
    <w:multiLevelType w:val="hybridMultilevel"/>
    <w:tmpl w:val="2F344B52"/>
    <w:lvl w:ilvl="0" w:tplc="66DA56D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24F34"/>
    <w:multiLevelType w:val="hybridMultilevel"/>
    <w:tmpl w:val="CFAA37D4"/>
    <w:lvl w:ilvl="0" w:tplc="6BA4C9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8A2F3C"/>
    <w:multiLevelType w:val="hybridMultilevel"/>
    <w:tmpl w:val="9E8CE5AC"/>
    <w:lvl w:ilvl="0" w:tplc="B3488854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A32ED"/>
    <w:multiLevelType w:val="hybridMultilevel"/>
    <w:tmpl w:val="C9A2ED26"/>
    <w:lvl w:ilvl="0" w:tplc="A21A2FB0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43708B"/>
    <w:multiLevelType w:val="hybridMultilevel"/>
    <w:tmpl w:val="DDCA0CEE"/>
    <w:lvl w:ilvl="0" w:tplc="B0F65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87815"/>
    <w:multiLevelType w:val="hybridMultilevel"/>
    <w:tmpl w:val="B31E0B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D2F9A"/>
    <w:multiLevelType w:val="hybridMultilevel"/>
    <w:tmpl w:val="49C811EE"/>
    <w:lvl w:ilvl="0" w:tplc="620617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C73315"/>
    <w:multiLevelType w:val="hybridMultilevel"/>
    <w:tmpl w:val="ACB2A2D0"/>
    <w:lvl w:ilvl="0" w:tplc="574EA7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AB4AAD"/>
    <w:multiLevelType w:val="hybridMultilevel"/>
    <w:tmpl w:val="4BB8688A"/>
    <w:lvl w:ilvl="0" w:tplc="7B585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6720E8"/>
    <w:multiLevelType w:val="hybridMultilevel"/>
    <w:tmpl w:val="8850E3F0"/>
    <w:lvl w:ilvl="0" w:tplc="987EA5D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A6D49"/>
    <w:multiLevelType w:val="hybridMultilevel"/>
    <w:tmpl w:val="00D66310"/>
    <w:lvl w:ilvl="0" w:tplc="30209E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31226"/>
    <w:multiLevelType w:val="hybridMultilevel"/>
    <w:tmpl w:val="4964D184"/>
    <w:lvl w:ilvl="0" w:tplc="A1827F5C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00A193C"/>
    <w:multiLevelType w:val="hybridMultilevel"/>
    <w:tmpl w:val="BED223E0"/>
    <w:lvl w:ilvl="0" w:tplc="C27214C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25681"/>
    <w:multiLevelType w:val="hybridMultilevel"/>
    <w:tmpl w:val="91028BD4"/>
    <w:lvl w:ilvl="0" w:tplc="C346002A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DB26A7"/>
    <w:multiLevelType w:val="hybridMultilevel"/>
    <w:tmpl w:val="6F0A736E"/>
    <w:lvl w:ilvl="0" w:tplc="ADBC79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C830B6"/>
    <w:multiLevelType w:val="hybridMultilevel"/>
    <w:tmpl w:val="256E2EE0"/>
    <w:lvl w:ilvl="0" w:tplc="4BE88E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E97B5F"/>
    <w:multiLevelType w:val="hybridMultilevel"/>
    <w:tmpl w:val="C3D2C7B8"/>
    <w:lvl w:ilvl="0" w:tplc="F53473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F839F6"/>
    <w:multiLevelType w:val="hybridMultilevel"/>
    <w:tmpl w:val="26A86892"/>
    <w:lvl w:ilvl="0" w:tplc="20D2A332">
      <w:start w:val="3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1561E3"/>
    <w:multiLevelType w:val="hybridMultilevel"/>
    <w:tmpl w:val="0CE88B72"/>
    <w:lvl w:ilvl="0" w:tplc="FDF42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6403E9"/>
    <w:multiLevelType w:val="hybridMultilevel"/>
    <w:tmpl w:val="DD6C0F0A"/>
    <w:lvl w:ilvl="0" w:tplc="C40CB4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CAA11D7"/>
    <w:multiLevelType w:val="hybridMultilevel"/>
    <w:tmpl w:val="EABCDFEA"/>
    <w:lvl w:ilvl="0" w:tplc="BE044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9063E2"/>
    <w:multiLevelType w:val="hybridMultilevel"/>
    <w:tmpl w:val="5C7EB058"/>
    <w:lvl w:ilvl="0" w:tplc="8054A3F4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7E74F8"/>
    <w:multiLevelType w:val="hybridMultilevel"/>
    <w:tmpl w:val="AA1201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B4792"/>
    <w:multiLevelType w:val="hybridMultilevel"/>
    <w:tmpl w:val="529C9452"/>
    <w:lvl w:ilvl="0" w:tplc="8A068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142BC9"/>
    <w:multiLevelType w:val="hybridMultilevel"/>
    <w:tmpl w:val="AB042EA0"/>
    <w:lvl w:ilvl="0" w:tplc="F7809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FF686E"/>
    <w:multiLevelType w:val="hybridMultilevel"/>
    <w:tmpl w:val="D43C9294"/>
    <w:lvl w:ilvl="0" w:tplc="EAC65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637DEE"/>
    <w:multiLevelType w:val="hybridMultilevel"/>
    <w:tmpl w:val="FFCCCA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C4001"/>
    <w:multiLevelType w:val="hybridMultilevel"/>
    <w:tmpl w:val="63367B30"/>
    <w:lvl w:ilvl="0" w:tplc="1E4470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6EF344A"/>
    <w:multiLevelType w:val="hybridMultilevel"/>
    <w:tmpl w:val="2E6AEE7E"/>
    <w:lvl w:ilvl="0" w:tplc="A8CC1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CA2B90"/>
    <w:multiLevelType w:val="hybridMultilevel"/>
    <w:tmpl w:val="D2FCA49C"/>
    <w:lvl w:ilvl="0" w:tplc="61AA3418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264F40"/>
    <w:multiLevelType w:val="hybridMultilevel"/>
    <w:tmpl w:val="EE921E90"/>
    <w:lvl w:ilvl="0" w:tplc="862244F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6C3236"/>
    <w:multiLevelType w:val="hybridMultilevel"/>
    <w:tmpl w:val="0D0275FE"/>
    <w:lvl w:ilvl="0" w:tplc="83A48F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D2863A8"/>
    <w:multiLevelType w:val="hybridMultilevel"/>
    <w:tmpl w:val="D1D43258"/>
    <w:lvl w:ilvl="0" w:tplc="49944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2F77BB"/>
    <w:multiLevelType w:val="hybridMultilevel"/>
    <w:tmpl w:val="33D28988"/>
    <w:lvl w:ilvl="0" w:tplc="1ACECC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233868"/>
    <w:multiLevelType w:val="hybridMultilevel"/>
    <w:tmpl w:val="D3702678"/>
    <w:lvl w:ilvl="0" w:tplc="92FAE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F52E11"/>
    <w:multiLevelType w:val="hybridMultilevel"/>
    <w:tmpl w:val="AF2A8AD2"/>
    <w:lvl w:ilvl="0" w:tplc="E68C3F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C519BC"/>
    <w:multiLevelType w:val="hybridMultilevel"/>
    <w:tmpl w:val="05443A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269C7"/>
    <w:multiLevelType w:val="hybridMultilevel"/>
    <w:tmpl w:val="75C8EAC6"/>
    <w:lvl w:ilvl="0" w:tplc="8570A2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222537"/>
    <w:multiLevelType w:val="hybridMultilevel"/>
    <w:tmpl w:val="9A8C7E54"/>
    <w:lvl w:ilvl="0" w:tplc="F58A74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40B66"/>
    <w:multiLevelType w:val="hybridMultilevel"/>
    <w:tmpl w:val="FB78B884"/>
    <w:lvl w:ilvl="0" w:tplc="AE020E4C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EF0F56"/>
    <w:multiLevelType w:val="hybridMultilevel"/>
    <w:tmpl w:val="9F82BEB0"/>
    <w:lvl w:ilvl="0" w:tplc="0A90BC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3031595">
    <w:abstractNumId w:val="1"/>
  </w:num>
  <w:num w:numId="2" w16cid:durableId="1974821112">
    <w:abstractNumId w:val="36"/>
  </w:num>
  <w:num w:numId="3" w16cid:durableId="1502895098">
    <w:abstractNumId w:val="22"/>
  </w:num>
  <w:num w:numId="4" w16cid:durableId="174081711">
    <w:abstractNumId w:val="26"/>
  </w:num>
  <w:num w:numId="5" w16cid:durableId="1543403389">
    <w:abstractNumId w:val="25"/>
  </w:num>
  <w:num w:numId="6" w16cid:durableId="1021979569">
    <w:abstractNumId w:val="6"/>
  </w:num>
  <w:num w:numId="7" w16cid:durableId="554925198">
    <w:abstractNumId w:val="31"/>
  </w:num>
  <w:num w:numId="8" w16cid:durableId="1687751485">
    <w:abstractNumId w:val="7"/>
  </w:num>
  <w:num w:numId="9" w16cid:durableId="1927305675">
    <w:abstractNumId w:val="19"/>
  </w:num>
  <w:num w:numId="10" w16cid:durableId="546723076">
    <w:abstractNumId w:val="30"/>
  </w:num>
  <w:num w:numId="11" w16cid:durableId="2136632857">
    <w:abstractNumId w:val="38"/>
  </w:num>
  <w:num w:numId="12" w16cid:durableId="1731154066">
    <w:abstractNumId w:val="0"/>
  </w:num>
  <w:num w:numId="13" w16cid:durableId="410540362">
    <w:abstractNumId w:val="32"/>
  </w:num>
  <w:num w:numId="14" w16cid:durableId="304625883">
    <w:abstractNumId w:val="21"/>
  </w:num>
  <w:num w:numId="15" w16cid:durableId="1314795710">
    <w:abstractNumId w:val="9"/>
  </w:num>
  <w:num w:numId="16" w16cid:durableId="37552322">
    <w:abstractNumId w:val="2"/>
  </w:num>
  <w:num w:numId="17" w16cid:durableId="853346707">
    <w:abstractNumId w:val="18"/>
  </w:num>
  <w:num w:numId="18" w16cid:durableId="1546062075">
    <w:abstractNumId w:val="33"/>
  </w:num>
  <w:num w:numId="19" w16cid:durableId="1243873868">
    <w:abstractNumId w:val="4"/>
  </w:num>
  <w:num w:numId="20" w16cid:durableId="1961643940">
    <w:abstractNumId w:val="35"/>
  </w:num>
  <w:num w:numId="21" w16cid:durableId="1391491758">
    <w:abstractNumId w:val="17"/>
  </w:num>
  <w:num w:numId="22" w16cid:durableId="1738478160">
    <w:abstractNumId w:val="3"/>
  </w:num>
  <w:num w:numId="23" w16cid:durableId="309673853">
    <w:abstractNumId w:val="41"/>
  </w:num>
  <w:num w:numId="24" w16cid:durableId="1009718944">
    <w:abstractNumId w:val="23"/>
  </w:num>
  <w:num w:numId="25" w16cid:durableId="1232349799">
    <w:abstractNumId w:val="14"/>
  </w:num>
  <w:num w:numId="26" w16cid:durableId="614602457">
    <w:abstractNumId w:val="40"/>
  </w:num>
  <w:num w:numId="27" w16cid:durableId="1040712892">
    <w:abstractNumId w:val="5"/>
  </w:num>
  <w:num w:numId="28" w16cid:durableId="443500443">
    <w:abstractNumId w:val="16"/>
  </w:num>
  <w:num w:numId="29" w16cid:durableId="70078609">
    <w:abstractNumId w:val="29"/>
  </w:num>
  <w:num w:numId="30" w16cid:durableId="1466922736">
    <w:abstractNumId w:val="34"/>
  </w:num>
  <w:num w:numId="31" w16cid:durableId="1117062575">
    <w:abstractNumId w:val="10"/>
  </w:num>
  <w:num w:numId="32" w16cid:durableId="483012190">
    <w:abstractNumId w:val="42"/>
  </w:num>
  <w:num w:numId="33" w16cid:durableId="216166351">
    <w:abstractNumId w:val="8"/>
  </w:num>
  <w:num w:numId="34" w16cid:durableId="128868253">
    <w:abstractNumId w:val="39"/>
  </w:num>
  <w:num w:numId="35" w16cid:durableId="1567034931">
    <w:abstractNumId w:val="28"/>
  </w:num>
  <w:num w:numId="36" w16cid:durableId="521212598">
    <w:abstractNumId w:val="20"/>
  </w:num>
  <w:num w:numId="37" w16cid:durableId="468327921">
    <w:abstractNumId w:val="15"/>
  </w:num>
  <w:num w:numId="38" w16cid:durableId="1636133633">
    <w:abstractNumId w:val="11"/>
  </w:num>
  <w:num w:numId="39" w16cid:durableId="884802755">
    <w:abstractNumId w:val="13"/>
  </w:num>
  <w:num w:numId="40" w16cid:durableId="1277836728">
    <w:abstractNumId w:val="37"/>
  </w:num>
  <w:num w:numId="41" w16cid:durableId="1282346325">
    <w:abstractNumId w:val="12"/>
  </w:num>
  <w:num w:numId="42" w16cid:durableId="2016498032">
    <w:abstractNumId w:val="27"/>
  </w:num>
  <w:num w:numId="43" w16cid:durableId="3980225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67"/>
    <w:rsid w:val="000043DD"/>
    <w:rsid w:val="00076E72"/>
    <w:rsid w:val="00082DA4"/>
    <w:rsid w:val="0009163B"/>
    <w:rsid w:val="00091885"/>
    <w:rsid w:val="000B2D0D"/>
    <w:rsid w:val="000C52A7"/>
    <w:rsid w:val="000E6AE8"/>
    <w:rsid w:val="000E708F"/>
    <w:rsid w:val="000F57A9"/>
    <w:rsid w:val="00106536"/>
    <w:rsid w:val="00121406"/>
    <w:rsid w:val="00123AD2"/>
    <w:rsid w:val="0014245B"/>
    <w:rsid w:val="0014379C"/>
    <w:rsid w:val="00150E04"/>
    <w:rsid w:val="00155C0A"/>
    <w:rsid w:val="00160662"/>
    <w:rsid w:val="001A01E2"/>
    <w:rsid w:val="001B5057"/>
    <w:rsid w:val="001C6CEC"/>
    <w:rsid w:val="0021163B"/>
    <w:rsid w:val="0021335A"/>
    <w:rsid w:val="0026561E"/>
    <w:rsid w:val="00276B51"/>
    <w:rsid w:val="00281015"/>
    <w:rsid w:val="002D4222"/>
    <w:rsid w:val="002D7400"/>
    <w:rsid w:val="0037478E"/>
    <w:rsid w:val="00391E53"/>
    <w:rsid w:val="00397B74"/>
    <w:rsid w:val="003C6FC6"/>
    <w:rsid w:val="003D2180"/>
    <w:rsid w:val="004248A0"/>
    <w:rsid w:val="004310CD"/>
    <w:rsid w:val="00464825"/>
    <w:rsid w:val="00477103"/>
    <w:rsid w:val="00483C08"/>
    <w:rsid w:val="004D5D8D"/>
    <w:rsid w:val="004D796B"/>
    <w:rsid w:val="00501526"/>
    <w:rsid w:val="005146AB"/>
    <w:rsid w:val="00525F95"/>
    <w:rsid w:val="005412DA"/>
    <w:rsid w:val="005478E8"/>
    <w:rsid w:val="00573C10"/>
    <w:rsid w:val="005C2339"/>
    <w:rsid w:val="005E4004"/>
    <w:rsid w:val="005F33A9"/>
    <w:rsid w:val="006230C4"/>
    <w:rsid w:val="006523C4"/>
    <w:rsid w:val="00690F04"/>
    <w:rsid w:val="006C74E6"/>
    <w:rsid w:val="006D0CBF"/>
    <w:rsid w:val="006E438D"/>
    <w:rsid w:val="00701F91"/>
    <w:rsid w:val="00704C46"/>
    <w:rsid w:val="00712AFF"/>
    <w:rsid w:val="00721F53"/>
    <w:rsid w:val="00726114"/>
    <w:rsid w:val="007551FC"/>
    <w:rsid w:val="00760E36"/>
    <w:rsid w:val="00790334"/>
    <w:rsid w:val="007A3ABE"/>
    <w:rsid w:val="007B49E8"/>
    <w:rsid w:val="00824AE4"/>
    <w:rsid w:val="00866AFE"/>
    <w:rsid w:val="008B7002"/>
    <w:rsid w:val="0090354E"/>
    <w:rsid w:val="009134B1"/>
    <w:rsid w:val="00952C84"/>
    <w:rsid w:val="00953305"/>
    <w:rsid w:val="009568B1"/>
    <w:rsid w:val="00990AC7"/>
    <w:rsid w:val="009A51CC"/>
    <w:rsid w:val="009C12D4"/>
    <w:rsid w:val="009D6788"/>
    <w:rsid w:val="00A061DC"/>
    <w:rsid w:val="00A155DD"/>
    <w:rsid w:val="00A30142"/>
    <w:rsid w:val="00A64114"/>
    <w:rsid w:val="00A674B5"/>
    <w:rsid w:val="00A677C8"/>
    <w:rsid w:val="00A67C57"/>
    <w:rsid w:val="00A72A9F"/>
    <w:rsid w:val="00AB73E0"/>
    <w:rsid w:val="00AC6636"/>
    <w:rsid w:val="00AC68A0"/>
    <w:rsid w:val="00B136CB"/>
    <w:rsid w:val="00B46D1B"/>
    <w:rsid w:val="00B61B5C"/>
    <w:rsid w:val="00B975FA"/>
    <w:rsid w:val="00BA4641"/>
    <w:rsid w:val="00BC2467"/>
    <w:rsid w:val="00BE6A9D"/>
    <w:rsid w:val="00C52F20"/>
    <w:rsid w:val="00C77778"/>
    <w:rsid w:val="00C85A64"/>
    <w:rsid w:val="00CE41D5"/>
    <w:rsid w:val="00CE6A73"/>
    <w:rsid w:val="00CF1946"/>
    <w:rsid w:val="00CF5040"/>
    <w:rsid w:val="00CF6F60"/>
    <w:rsid w:val="00D04880"/>
    <w:rsid w:val="00D65E1E"/>
    <w:rsid w:val="00D66515"/>
    <w:rsid w:val="00DA2305"/>
    <w:rsid w:val="00DB0617"/>
    <w:rsid w:val="00DC6496"/>
    <w:rsid w:val="00DF7B36"/>
    <w:rsid w:val="00E02437"/>
    <w:rsid w:val="00E20CA4"/>
    <w:rsid w:val="00E26EE6"/>
    <w:rsid w:val="00E42469"/>
    <w:rsid w:val="00EA5D99"/>
    <w:rsid w:val="00EC1231"/>
    <w:rsid w:val="00EF00BD"/>
    <w:rsid w:val="00F11F92"/>
    <w:rsid w:val="00F42C20"/>
    <w:rsid w:val="00F5304F"/>
    <w:rsid w:val="00F9547E"/>
    <w:rsid w:val="00F97718"/>
    <w:rsid w:val="00FC45F4"/>
    <w:rsid w:val="00FC48E0"/>
    <w:rsid w:val="00FD7764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C8CC"/>
  <w15:chartTrackingRefBased/>
  <w15:docId w15:val="{07E59BF3-B876-4588-8C86-8220B98D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2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2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2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2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2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2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2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2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2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2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2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2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246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246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24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24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24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24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2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2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2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2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2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24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24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24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2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24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246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C74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74E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1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textincomma">
    <w:name w:val="art_text_in_comma"/>
    <w:basedOn w:val="Carpredefinitoparagrafo"/>
    <w:rsid w:val="001B5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antonazzo</dc:creator>
  <cp:keywords/>
  <dc:description/>
  <cp:lastModifiedBy>antonio antonazzo</cp:lastModifiedBy>
  <cp:revision>4</cp:revision>
  <cp:lastPrinted>2024-11-02T11:25:00Z</cp:lastPrinted>
  <dcterms:created xsi:type="dcterms:W3CDTF">2025-05-13T09:38:00Z</dcterms:created>
  <dcterms:modified xsi:type="dcterms:W3CDTF">2025-05-13T10:06:00Z</dcterms:modified>
</cp:coreProperties>
</file>